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FC" w:rsidRPr="00EA0B0B" w:rsidRDefault="0078137E" w:rsidP="003137FC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EA0B0B">
        <w:rPr>
          <w:b/>
          <w:bCs/>
          <w:noProof/>
          <w:lang w:val="en-US" w:eastAsia="en-US"/>
        </w:rPr>
        <w:drawing>
          <wp:inline distT="0" distB="0" distL="0" distR="0" wp14:anchorId="2A24AB25" wp14:editId="5BC666C2">
            <wp:extent cx="6286500" cy="950595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aţi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306" cy="952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793" w:rsidRDefault="00FC1793" w:rsidP="00FC1793">
      <w:pPr>
        <w:pStyle w:val="Heading2"/>
        <w:spacing w:before="0" w:beforeAutospacing="0" w:after="0" w:afterAutospacing="0" w:line="276" w:lineRule="auto"/>
        <w:ind w:firstLine="709"/>
        <w:jc w:val="both"/>
        <w:rPr>
          <w:b w:val="0"/>
          <w:sz w:val="24"/>
        </w:rPr>
      </w:pPr>
    </w:p>
    <w:p w:rsidR="00FC1793" w:rsidRPr="00EE1E86" w:rsidRDefault="00FC1793" w:rsidP="00FC1793">
      <w:pPr>
        <w:jc w:val="center"/>
        <w:rPr>
          <w:rFonts w:ascii="Times New Roman" w:hAnsi="Times New Roman" w:cs="Times New Roman"/>
          <w:b/>
          <w:bCs/>
          <w:sz w:val="40"/>
        </w:rPr>
      </w:pPr>
      <w:r w:rsidRPr="00EE1E86">
        <w:rPr>
          <w:rFonts w:ascii="Times New Roman" w:hAnsi="Times New Roman" w:cs="Times New Roman"/>
          <w:b/>
          <w:bCs/>
          <w:sz w:val="40"/>
        </w:rPr>
        <w:t xml:space="preserve">SIMPOZION </w:t>
      </w:r>
    </w:p>
    <w:p w:rsidR="00FC1793" w:rsidRPr="00EE1E86" w:rsidRDefault="00FC1793" w:rsidP="00FC179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E1E86">
        <w:rPr>
          <w:rFonts w:ascii="Times New Roman" w:hAnsi="Times New Roman" w:cs="Times New Roman"/>
          <w:b/>
          <w:bCs/>
          <w:sz w:val="32"/>
        </w:rPr>
        <w:t>EDIŢIA I</w:t>
      </w:r>
    </w:p>
    <w:p w:rsidR="00FC1793" w:rsidRPr="00EE1E86" w:rsidRDefault="00FC1793" w:rsidP="00FC1793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E1E86">
        <w:rPr>
          <w:rFonts w:ascii="Times New Roman" w:hAnsi="Times New Roman" w:cs="Times New Roman"/>
          <w:b/>
          <w:bCs/>
          <w:sz w:val="36"/>
        </w:rPr>
        <w:t xml:space="preserve"> </w:t>
      </w:r>
      <w:r w:rsidRPr="00C408B0">
        <w:rPr>
          <w:rFonts w:ascii="Times New Roman" w:hAnsi="Times New Roman" w:cs="Times New Roman"/>
          <w:b/>
          <w:bCs/>
          <w:color w:val="365F91" w:themeColor="accent1" w:themeShade="BF"/>
          <w:sz w:val="36"/>
        </w:rPr>
        <w:t>TENDINŢE ŞI PROVOCĂRI ÎN DIDACTICA SPECIALITĂŢII</w:t>
      </w:r>
    </w:p>
    <w:p w:rsidR="00FC1793" w:rsidRDefault="00FC1793" w:rsidP="00FC1793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2017 – COORDONATE ALE SCHIMBĂRII</w:t>
      </w:r>
    </w:p>
    <w:p w:rsidR="00FC1793" w:rsidRDefault="00FC1793" w:rsidP="00FC1793">
      <w:pPr>
        <w:pStyle w:val="Heading2"/>
        <w:spacing w:before="0" w:beforeAutospacing="0" w:after="0" w:afterAutospacing="0" w:line="276" w:lineRule="auto"/>
        <w:ind w:firstLine="709"/>
        <w:jc w:val="both"/>
        <w:rPr>
          <w:b w:val="0"/>
          <w:sz w:val="24"/>
        </w:rPr>
      </w:pPr>
    </w:p>
    <w:p w:rsidR="00221763" w:rsidRDefault="00221763" w:rsidP="00FC1793">
      <w:pPr>
        <w:pStyle w:val="Heading2"/>
        <w:spacing w:before="0" w:beforeAutospacing="0" w:after="0" w:afterAutospacing="0" w:line="276" w:lineRule="auto"/>
        <w:ind w:firstLine="709"/>
        <w:jc w:val="both"/>
        <w:rPr>
          <w:i/>
          <w:sz w:val="24"/>
        </w:rPr>
      </w:pPr>
    </w:p>
    <w:p w:rsidR="00AC6C54" w:rsidRPr="00C408B0" w:rsidRDefault="00AC6C54" w:rsidP="00FC1793">
      <w:pPr>
        <w:pStyle w:val="Heading2"/>
        <w:spacing w:before="0" w:beforeAutospacing="0" w:after="0" w:afterAutospacing="0" w:line="276" w:lineRule="auto"/>
        <w:ind w:firstLine="709"/>
        <w:jc w:val="both"/>
        <w:rPr>
          <w:sz w:val="24"/>
        </w:rPr>
      </w:pPr>
      <w:r w:rsidRPr="00C408B0">
        <w:rPr>
          <w:i/>
          <w:sz w:val="24"/>
        </w:rPr>
        <w:t xml:space="preserve">Universitatea </w:t>
      </w:r>
      <w:r w:rsidR="00C408B0" w:rsidRPr="00C408B0">
        <w:rPr>
          <w:i/>
          <w:sz w:val="24"/>
        </w:rPr>
        <w:t>„</w:t>
      </w:r>
      <w:r w:rsidRPr="00C408B0">
        <w:rPr>
          <w:i/>
          <w:sz w:val="24"/>
        </w:rPr>
        <w:t>Ovidius</w:t>
      </w:r>
      <w:r w:rsidR="00C408B0" w:rsidRPr="00C408B0">
        <w:rPr>
          <w:i/>
          <w:sz w:val="24"/>
        </w:rPr>
        <w:t>”</w:t>
      </w:r>
      <w:r w:rsidRPr="00C408B0">
        <w:rPr>
          <w:i/>
          <w:sz w:val="24"/>
        </w:rPr>
        <w:t xml:space="preserve"> din Constanţa, Facultatea de Psihologie şi Ştiinţele Educaţiei, Departamentul pentru Pregătirea Personalului Didactic, Centrul de Cercetare </w:t>
      </w:r>
      <w:proofErr w:type="spellStart"/>
      <w:r w:rsidRPr="00C408B0">
        <w:rPr>
          <w:i/>
          <w:sz w:val="24"/>
        </w:rPr>
        <w:t>şi</w:t>
      </w:r>
      <w:proofErr w:type="spellEnd"/>
      <w:r w:rsidRPr="00C408B0">
        <w:rPr>
          <w:i/>
          <w:sz w:val="24"/>
        </w:rPr>
        <w:t xml:space="preserve"> Evaluare </w:t>
      </w:r>
      <w:proofErr w:type="spellStart"/>
      <w:r w:rsidRPr="00C408B0">
        <w:rPr>
          <w:i/>
          <w:sz w:val="24"/>
        </w:rPr>
        <w:t>Psiho</w:t>
      </w:r>
      <w:proofErr w:type="spellEnd"/>
      <w:r w:rsidRPr="00C408B0">
        <w:rPr>
          <w:i/>
          <w:sz w:val="24"/>
        </w:rPr>
        <w:t xml:space="preserve">-Pedagogică </w:t>
      </w:r>
      <w:proofErr w:type="spellStart"/>
      <w:r w:rsidRPr="00C408B0">
        <w:rPr>
          <w:i/>
          <w:sz w:val="24"/>
        </w:rPr>
        <w:t>şi</w:t>
      </w:r>
      <w:proofErr w:type="spellEnd"/>
      <w:r w:rsidRPr="00C408B0">
        <w:rPr>
          <w:i/>
          <w:sz w:val="24"/>
        </w:rPr>
        <w:t xml:space="preserve"> Socială (CCEPPS), Inspectoratul Şcolar Judeţean Constanţa</w:t>
      </w:r>
      <w:r w:rsidRPr="00FC1793">
        <w:rPr>
          <w:b w:val="0"/>
          <w:sz w:val="24"/>
        </w:rPr>
        <w:t xml:space="preserve"> vă invită să participaţi în perioada 1</w:t>
      </w:r>
      <w:r w:rsidR="00F8170B">
        <w:rPr>
          <w:b w:val="0"/>
          <w:sz w:val="24"/>
        </w:rPr>
        <w:t>5-</w:t>
      </w:r>
      <w:r w:rsidRPr="00FC1793">
        <w:rPr>
          <w:b w:val="0"/>
          <w:sz w:val="24"/>
        </w:rPr>
        <w:t>1</w:t>
      </w:r>
      <w:r w:rsidR="00F8170B">
        <w:rPr>
          <w:b w:val="0"/>
          <w:sz w:val="24"/>
        </w:rPr>
        <w:t>6</w:t>
      </w:r>
      <w:r w:rsidRPr="00FC1793">
        <w:rPr>
          <w:b w:val="0"/>
          <w:sz w:val="24"/>
        </w:rPr>
        <w:t xml:space="preserve"> </w:t>
      </w:r>
      <w:r w:rsidR="00F8170B">
        <w:rPr>
          <w:b w:val="0"/>
          <w:sz w:val="24"/>
        </w:rPr>
        <w:t>decembrie</w:t>
      </w:r>
      <w:r w:rsidRPr="00FC1793">
        <w:rPr>
          <w:b w:val="0"/>
          <w:sz w:val="24"/>
        </w:rPr>
        <w:t xml:space="preserve"> 2017 la prima ediţia a Simpozionului </w:t>
      </w:r>
      <w:r w:rsidRPr="00C408B0">
        <w:rPr>
          <w:sz w:val="24"/>
        </w:rPr>
        <w:t>„</w:t>
      </w:r>
      <w:r w:rsidRPr="00C408B0">
        <w:rPr>
          <w:i/>
          <w:sz w:val="24"/>
        </w:rPr>
        <w:t>Tendinţe şi provocări în didactica de specialitate. Coordonate ale schimbării</w:t>
      </w:r>
      <w:r w:rsidRPr="00C408B0">
        <w:rPr>
          <w:sz w:val="24"/>
        </w:rPr>
        <w:t>”</w:t>
      </w:r>
    </w:p>
    <w:p w:rsidR="00D14908" w:rsidRPr="00EA0B0B" w:rsidRDefault="00AC6C54" w:rsidP="00FC1793">
      <w:pPr>
        <w:pStyle w:val="NormalWeb"/>
        <w:spacing w:before="0" w:beforeAutospacing="0" w:after="0" w:afterAutospacing="0" w:line="276" w:lineRule="auto"/>
        <w:ind w:firstLine="709"/>
        <w:jc w:val="both"/>
        <w:rPr>
          <w:b/>
          <w:bCs/>
          <w:shd w:val="clear" w:color="auto" w:fill="FFFFFF"/>
        </w:rPr>
      </w:pPr>
      <w:r w:rsidRPr="00EA0B0B">
        <w:rPr>
          <w:bCs/>
        </w:rPr>
        <w:t xml:space="preserve"> </w:t>
      </w:r>
      <w:r w:rsidR="00D14908" w:rsidRPr="00FC1793">
        <w:rPr>
          <w:bCs/>
        </w:rPr>
        <w:t xml:space="preserve">Simpozionul </w:t>
      </w:r>
      <w:r w:rsidRPr="00FC1793">
        <w:rPr>
          <w:bCs/>
        </w:rPr>
        <w:t>îşi propune să</w:t>
      </w:r>
      <w:r>
        <w:rPr>
          <w:b/>
          <w:bCs/>
        </w:rPr>
        <w:t xml:space="preserve"> </w:t>
      </w:r>
      <w:r w:rsidR="00D14908" w:rsidRPr="00EA0B0B">
        <w:rPr>
          <w:bCs/>
        </w:rPr>
        <w:t>cre</w:t>
      </w:r>
      <w:r>
        <w:rPr>
          <w:bCs/>
        </w:rPr>
        <w:t>eze</w:t>
      </w:r>
      <w:r w:rsidR="00D14908" w:rsidRPr="00EA0B0B">
        <w:rPr>
          <w:bCs/>
        </w:rPr>
        <w:t xml:space="preserve"> cadrul întâlnirii şi a</w:t>
      </w:r>
      <w:r>
        <w:rPr>
          <w:bCs/>
        </w:rPr>
        <w:t>l</w:t>
      </w:r>
      <w:r w:rsidR="00D14908" w:rsidRPr="00EA0B0B">
        <w:rPr>
          <w:bCs/>
        </w:rPr>
        <w:t xml:space="preserve"> schimbului de idei dintre teoreticieni, practicieni şi factori de decizie pentru conturarea direcţiilor conştiente şi responsabile de acţiune în implementarea reformei curriculare şi formarea iniţială şi continuă a cadrelor didactice în raport cu noile </w:t>
      </w:r>
      <w:r w:rsidR="00B1601A" w:rsidRPr="00EA0B0B">
        <w:rPr>
          <w:bCs/>
        </w:rPr>
        <w:t>schimbări</w:t>
      </w:r>
      <w:r>
        <w:rPr>
          <w:bCs/>
        </w:rPr>
        <w:t>.</w:t>
      </w:r>
    </w:p>
    <w:p w:rsidR="00D14908" w:rsidRDefault="00AC6C54" w:rsidP="00FC1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o-RO"/>
        </w:rPr>
        <w:t>Demersul nostru are în vedere s</w:t>
      </w:r>
      <w:r w:rsidR="00B1601A" w:rsidRPr="00EA0B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o-RO"/>
        </w:rPr>
        <w:t>tabilirea direcţiilor de acţiune comună în formarea inițială şi continuă a cadrelor didactice din învăţământului preuniversitar din perspectiva noilor schimbări curriculare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o-RO"/>
        </w:rPr>
        <w:t>.</w:t>
      </w:r>
    </w:p>
    <w:p w:rsidR="00D14908" w:rsidRPr="00EA0B0B" w:rsidRDefault="00AC6C54" w:rsidP="00FC1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o-RO"/>
        </w:rPr>
        <w:t xml:space="preserve">Se impune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r</w:t>
      </w:r>
      <w:r w:rsidR="005F5E07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ealizar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ea</w:t>
      </w:r>
      <w:r w:rsidR="005F5E07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unui suport de documentare pentru didacticile aplicate la nivelul ariilor curriculare prin colaborarea implicita a didacticienilor şi a reprezentanţilor inspectoratului şcolar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, dar şi t</w:t>
      </w:r>
      <w:r w:rsidR="005F5E07" w:rsidRPr="00EA0B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o-RO"/>
        </w:rPr>
        <w:t>rasarea direcţiilor de colaborare în didactica specialităţii, practicii pedagogice şi activităţilor de mentorat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o-RO"/>
        </w:rPr>
        <w:t>.</w:t>
      </w:r>
    </w:p>
    <w:p w:rsidR="005F5E07" w:rsidRDefault="00AC6C54" w:rsidP="00FC1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În cadrul Simpozionului, în afara dezbaterilor în plen la care îşi vor aduce contribuţia reprezentanţii instituțiilor cu expertiză în domeniul curricular,</w:t>
      </w:r>
      <w:r w:rsidRPr="00AC6C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în domeniul  practicii pedagogice şi al activităţilor de mentorat, se vor derula şi ateliere de lucru pe domenii curriculare:</w:t>
      </w:r>
    </w:p>
    <w:p w:rsidR="00BF0ADE" w:rsidRPr="00EA0B0B" w:rsidRDefault="00BF0ADE" w:rsidP="00FC1793">
      <w:pPr>
        <w:pStyle w:val="ListParagraph"/>
        <w:numPr>
          <w:ilvl w:val="0"/>
          <w:numId w:val="3"/>
        </w:numPr>
        <w:spacing w:after="0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Didactici aplicate în aria curriculară Limbă şi comunicare</w:t>
      </w:r>
    </w:p>
    <w:p w:rsidR="00BF0ADE" w:rsidRPr="00EA0B0B" w:rsidRDefault="00BF0ADE" w:rsidP="00FC1793">
      <w:pPr>
        <w:pStyle w:val="ListParagraph"/>
        <w:numPr>
          <w:ilvl w:val="0"/>
          <w:numId w:val="3"/>
        </w:numPr>
        <w:spacing w:after="0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Didactici aplicate în aria curriculară Matematică şi </w:t>
      </w:r>
      <w:r w:rsidR="00C7432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Ş</w:t>
      </w:r>
      <w:r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tiinţe</w:t>
      </w:r>
    </w:p>
    <w:p w:rsidR="00BF0ADE" w:rsidRPr="00EA0B0B" w:rsidRDefault="00BF0ADE" w:rsidP="00FC1793">
      <w:pPr>
        <w:pStyle w:val="ListParagraph"/>
        <w:numPr>
          <w:ilvl w:val="0"/>
          <w:numId w:val="3"/>
        </w:numPr>
        <w:spacing w:after="0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Didactici aplicate în aria curriculară Om şi societate</w:t>
      </w:r>
      <w:r w:rsidR="00C7432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, Consiliere şi Orientare</w:t>
      </w:r>
    </w:p>
    <w:p w:rsidR="00BF0ADE" w:rsidRPr="00EA0B0B" w:rsidRDefault="00BF0ADE" w:rsidP="00FC1793">
      <w:pPr>
        <w:pStyle w:val="ListParagraph"/>
        <w:numPr>
          <w:ilvl w:val="0"/>
          <w:numId w:val="3"/>
        </w:numPr>
        <w:spacing w:after="0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Didactici aplicate în aria curriculară Arte şi Tehnologii </w:t>
      </w:r>
    </w:p>
    <w:p w:rsidR="00BF0ADE" w:rsidRPr="00EA0B0B" w:rsidRDefault="00BF0ADE" w:rsidP="00FC1793">
      <w:pPr>
        <w:pStyle w:val="ListParagraph"/>
        <w:numPr>
          <w:ilvl w:val="0"/>
          <w:numId w:val="3"/>
        </w:numPr>
        <w:spacing w:after="0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Didactici aplicate în aria curriculară Educaţie fizică şi sport</w:t>
      </w:r>
    </w:p>
    <w:p w:rsidR="00BF0ADE" w:rsidRPr="00EA0B0B" w:rsidRDefault="00E11CD3" w:rsidP="00FC1793">
      <w:pPr>
        <w:pStyle w:val="ListParagraph"/>
        <w:numPr>
          <w:ilvl w:val="0"/>
          <w:numId w:val="3"/>
        </w:numPr>
        <w:spacing w:after="0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Didactici aplicate </w:t>
      </w:r>
      <w:r w:rsidR="00BF0ADE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în Învăţământ preşcolar</w:t>
      </w:r>
    </w:p>
    <w:p w:rsidR="00BF0ADE" w:rsidRPr="00EA0B0B" w:rsidRDefault="00E11CD3" w:rsidP="00FC1793">
      <w:pPr>
        <w:pStyle w:val="ListParagraph"/>
        <w:numPr>
          <w:ilvl w:val="0"/>
          <w:numId w:val="3"/>
        </w:numPr>
        <w:spacing w:after="0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Didactici aplicate </w:t>
      </w:r>
      <w:r w:rsidR="00BF0ADE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în  Învăţământ primar</w:t>
      </w:r>
    </w:p>
    <w:p w:rsidR="00FC1793" w:rsidRDefault="00AC6C54" w:rsidP="00FC1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Atelierele de lucru vor fi un prilej bun pentru </w:t>
      </w:r>
      <w:r w:rsidR="00AF3FB0"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</w:t>
      </w:r>
      <w:r w:rsidR="00B044F2"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ezvoltarea  competenţelor de comunicare, de colaborare, de analiză între didacticieni</w:t>
      </w:r>
      <w:r w:rsidR="00E11CD3"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i Facultăţii de Psihologie şi Ştiinţele Educaţiei, din cadrul Universităţii </w:t>
      </w:r>
      <w:r w:rsidR="00E11CD3" w:rsidRPr="00AF3FB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o-RO"/>
        </w:rPr>
        <w:t>Ovidius</w:t>
      </w:r>
      <w:r w:rsidR="00E11CD3"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din Constanţa</w:t>
      </w:r>
      <w:r w:rsidR="00B044F2"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şi reprezentanţii </w:t>
      </w:r>
      <w:r w:rsidR="00E11CD3"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ai Inspectoratului Şcolar Judeţean Constanţa</w:t>
      </w:r>
      <w:r w:rsidR="00B044F2"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în vederea</w:t>
      </w:r>
      <w:r w:rsidR="00AF3FB0" w:rsidRP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aplicării reformei curriculare</w:t>
      </w:r>
      <w:r w:rsidR="00FC17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.</w:t>
      </w:r>
    </w:p>
    <w:p w:rsidR="00C408B0" w:rsidRDefault="00C408B0" w:rsidP="00FC1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</w:p>
    <w:p w:rsidR="00C408B0" w:rsidRDefault="00C408B0" w:rsidP="00FC1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</w:p>
    <w:p w:rsidR="00AF3FB0" w:rsidRDefault="00FC1793" w:rsidP="00FC1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I</w:t>
      </w:r>
      <w:r w:rsid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dentificarea noilor direcţii </w:t>
      </w:r>
      <w:r w:rsidR="00741F31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de perfecţionare a pregătirii practice pedagogice a viitorilor profesori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şi </w:t>
      </w:r>
      <w:r w:rsid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îmbunătăţirea performanțelor </w:t>
      </w:r>
      <w:r w:rsidR="00AF3FB0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cadrelor didactice din învăţământul preuniversitar</w:t>
      </w:r>
      <w:r w:rsidR="00AF3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prin intermediul programelor </w:t>
      </w:r>
      <w:r w:rsidR="00055E53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de dezvoltare profesională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reprezintă axe prioritare în viziunea noile schimbări.</w:t>
      </w:r>
    </w:p>
    <w:p w:rsidR="00FB7AA5" w:rsidRDefault="00AF3FB0" w:rsidP="00FC1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Exemplele de bune practici</w:t>
      </w:r>
      <w:r w:rsidR="00C408B0" w:rsidRPr="00C40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C40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din activitatea didactică,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FC17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concretizate în </w:t>
      </w:r>
      <w:r w:rsidR="00FC1793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volumului </w:t>
      </w:r>
      <w:r w:rsidR="00FC1793" w:rsidRPr="00EA0B0B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o-RO"/>
        </w:rPr>
        <w:t>„Tendinţe şi provocă</w:t>
      </w:r>
      <w:r w:rsidR="00FC179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o-RO"/>
        </w:rPr>
        <w:t>ri</w:t>
      </w:r>
      <w:r w:rsidR="00FC1793" w:rsidRPr="00EA0B0B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o-RO"/>
        </w:rPr>
        <w:t xml:space="preserve"> în didactica specialităţii. Coordonate ale schimbării”</w:t>
      </w:r>
      <w:r w:rsidR="00C408B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o-RO"/>
        </w:rPr>
        <w:t>,</w:t>
      </w:r>
      <w:r w:rsidR="00FC179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vor facilita un schimb de experienţă</w:t>
      </w:r>
      <w:r w:rsidR="00055E53" w:rsidRPr="00EA0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FC17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între cadrele didactice. </w:t>
      </w:r>
    </w:p>
    <w:p w:rsidR="00C408B0" w:rsidRDefault="00C408B0" w:rsidP="00C408B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</w:p>
    <w:p w:rsidR="00221763" w:rsidRDefault="00840715" w:rsidP="00C408B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</w:pPr>
      <w:hyperlink r:id="rId9" w:history="1">
        <w:r w:rsidR="00C408B0" w:rsidRPr="0022176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o-RO"/>
          </w:rPr>
          <w:t>Agenda detaliată a evenimentului</w:t>
        </w:r>
      </w:hyperlink>
      <w:r w:rsidR="0022176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  <w:t xml:space="preserve">, cât şi </w:t>
      </w:r>
      <w:hyperlink r:id="rId10" w:history="1">
        <w:r w:rsidR="00221763" w:rsidRPr="0022176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o-RO"/>
          </w:rPr>
          <w:t>formularul de înscriere</w:t>
        </w:r>
      </w:hyperlink>
      <w:r w:rsidR="00A44B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  <w:t xml:space="preserve"> pot</w:t>
      </w:r>
      <w:bookmarkStart w:id="0" w:name="_GoBack"/>
      <w:bookmarkEnd w:id="0"/>
      <w:r w:rsidR="00C408B0" w:rsidRPr="00C408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  <w:t xml:space="preserve"> fi consultat</w:t>
      </w:r>
      <w:r w:rsidR="0022176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  <w:t>e</w:t>
      </w:r>
      <w:r w:rsidR="00C408B0" w:rsidRPr="00C408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  <w:t xml:space="preserve"> pe </w:t>
      </w:r>
    </w:p>
    <w:p w:rsidR="00221763" w:rsidRDefault="00221763" w:rsidP="00C408B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</w:pPr>
    </w:p>
    <w:p w:rsidR="00C408B0" w:rsidRDefault="00C408B0" w:rsidP="00C408B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C408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  <w:t xml:space="preserve">adresa </w:t>
      </w:r>
      <w:hyperlink r:id="rId11" w:history="1">
        <w:r w:rsidRPr="00C408B0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o-RO"/>
          </w:rPr>
          <w:t>https://sites.google.com/view/simpoziontpds/</w:t>
        </w:r>
      </w:hyperlink>
    </w:p>
    <w:p w:rsidR="00C408B0" w:rsidRDefault="00C408B0" w:rsidP="00C408B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</w:p>
    <w:p w:rsidR="00C408B0" w:rsidRPr="00C408B0" w:rsidRDefault="00C408B0" w:rsidP="00C408B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</w:pPr>
    </w:p>
    <w:p w:rsidR="00C408B0" w:rsidRPr="00C408B0" w:rsidRDefault="00C408B0" w:rsidP="00C408B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</w:pPr>
      <w:r w:rsidRPr="00C408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  <w:t>Comitetul de organizare</w:t>
      </w:r>
    </w:p>
    <w:sectPr w:rsidR="00C408B0" w:rsidRPr="00C408B0" w:rsidSect="00C408B0">
      <w:headerReference w:type="default" r:id="rId12"/>
      <w:footerReference w:type="default" r:id="rId13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715" w:rsidRDefault="00840715" w:rsidP="006651BD">
      <w:pPr>
        <w:spacing w:after="0" w:line="240" w:lineRule="auto"/>
      </w:pPr>
      <w:r>
        <w:separator/>
      </w:r>
    </w:p>
  </w:endnote>
  <w:endnote w:type="continuationSeparator" w:id="0">
    <w:p w:rsidR="00840715" w:rsidRDefault="00840715" w:rsidP="0066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209826"/>
      <w:docPartObj>
        <w:docPartGallery w:val="Page Numbers (Bottom of Page)"/>
        <w:docPartUnique/>
      </w:docPartObj>
    </w:sdtPr>
    <w:sdtEndPr/>
    <w:sdtContent>
      <w:p w:rsidR="00C408B0" w:rsidRDefault="00C408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3A">
          <w:rPr>
            <w:noProof/>
          </w:rPr>
          <w:t>3</w:t>
        </w:r>
        <w:r>
          <w:fldChar w:fldCharType="end"/>
        </w:r>
      </w:p>
    </w:sdtContent>
  </w:sdt>
  <w:p w:rsidR="00C408B0" w:rsidRDefault="00C40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715" w:rsidRDefault="00840715" w:rsidP="006651BD">
      <w:pPr>
        <w:spacing w:after="0" w:line="240" w:lineRule="auto"/>
      </w:pPr>
      <w:r>
        <w:separator/>
      </w:r>
    </w:p>
  </w:footnote>
  <w:footnote w:type="continuationSeparator" w:id="0">
    <w:p w:rsidR="00840715" w:rsidRDefault="00840715" w:rsidP="0066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B0" w:rsidRDefault="00C408B0" w:rsidP="00C408B0">
    <w:pPr>
      <w:pStyle w:val="Header"/>
      <w:jc w:val="center"/>
    </w:pPr>
    <w:r>
      <w:t xml:space="preserve">            </w:t>
    </w:r>
    <w:r>
      <w:rPr>
        <w:noProof/>
        <w:lang w:val="en-US"/>
      </w:rPr>
      <w:drawing>
        <wp:inline distT="0" distB="0" distL="0" distR="0" wp14:anchorId="171A20E3" wp14:editId="606C6DD1">
          <wp:extent cx="1120718" cy="958171"/>
          <wp:effectExtent l="0" t="0" r="381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01" cy="96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val="en-US"/>
      </w:rPr>
      <w:drawing>
        <wp:inline distT="0" distB="0" distL="0" distR="0" wp14:anchorId="3ABDE476" wp14:editId="21F24E2C">
          <wp:extent cx="1024292" cy="1047750"/>
          <wp:effectExtent l="0" t="0" r="4445" b="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ru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4"/>
                  <a:stretch/>
                </pic:blipFill>
                <pic:spPr bwMode="auto">
                  <a:xfrm>
                    <a:off x="0" y="0"/>
                    <a:ext cx="1024436" cy="10478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en-US"/>
      </w:rPr>
      <w:drawing>
        <wp:inline distT="0" distB="0" distL="0" distR="0" wp14:anchorId="67ADB683" wp14:editId="0E3FB934">
          <wp:extent cx="1631612" cy="723451"/>
          <wp:effectExtent l="0" t="0" r="6985" b="635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j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208" cy="72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2488"/>
    <w:multiLevelType w:val="hybridMultilevel"/>
    <w:tmpl w:val="467A4CD4"/>
    <w:lvl w:ilvl="0" w:tplc="8B84C93E">
      <w:start w:val="5"/>
      <w:numFmt w:val="bullet"/>
      <w:lvlText w:val="-"/>
      <w:lvlJc w:val="left"/>
      <w:pPr>
        <w:ind w:left="1429" w:hanging="360"/>
      </w:pPr>
      <w:rPr>
        <w:rFonts w:ascii="Times" w:eastAsia="Times New Roman" w:hAnsi="Times" w:cs="Time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26647D"/>
    <w:multiLevelType w:val="hybridMultilevel"/>
    <w:tmpl w:val="954AC560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527DE8"/>
    <w:multiLevelType w:val="hybridMultilevel"/>
    <w:tmpl w:val="FA14662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3F77"/>
    <w:multiLevelType w:val="hybridMultilevel"/>
    <w:tmpl w:val="95AE9E7A"/>
    <w:lvl w:ilvl="0" w:tplc="49CC8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CE1382"/>
    <w:multiLevelType w:val="hybridMultilevel"/>
    <w:tmpl w:val="2E96A76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921707"/>
    <w:multiLevelType w:val="hybridMultilevel"/>
    <w:tmpl w:val="38CE8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15C85"/>
    <w:multiLevelType w:val="hybridMultilevel"/>
    <w:tmpl w:val="95AE9E7A"/>
    <w:lvl w:ilvl="0" w:tplc="49CC8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27445B"/>
    <w:multiLevelType w:val="hybridMultilevel"/>
    <w:tmpl w:val="4F086990"/>
    <w:lvl w:ilvl="0" w:tplc="8B84C93E">
      <w:start w:val="5"/>
      <w:numFmt w:val="bullet"/>
      <w:lvlText w:val="-"/>
      <w:lvlJc w:val="left"/>
      <w:pPr>
        <w:ind w:left="1429" w:hanging="360"/>
      </w:pPr>
      <w:rPr>
        <w:rFonts w:ascii="Times" w:eastAsia="Times New Roman" w:hAnsi="Times" w:cs="Time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FE49E3"/>
    <w:multiLevelType w:val="hybridMultilevel"/>
    <w:tmpl w:val="A4E8D0EC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AE7BC2"/>
    <w:multiLevelType w:val="hybridMultilevel"/>
    <w:tmpl w:val="0B9E2AA4"/>
    <w:lvl w:ilvl="0" w:tplc="74C645B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0B256B"/>
    <w:multiLevelType w:val="hybridMultilevel"/>
    <w:tmpl w:val="44500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B33BD"/>
    <w:multiLevelType w:val="multilevel"/>
    <w:tmpl w:val="2C64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75B67"/>
    <w:multiLevelType w:val="hybridMultilevel"/>
    <w:tmpl w:val="B5F8639C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E47AAF"/>
    <w:multiLevelType w:val="hybridMultilevel"/>
    <w:tmpl w:val="D7A6B7DC"/>
    <w:lvl w:ilvl="0" w:tplc="74C645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1075E"/>
    <w:multiLevelType w:val="hybridMultilevel"/>
    <w:tmpl w:val="A81CC91C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3144EF"/>
    <w:multiLevelType w:val="hybridMultilevel"/>
    <w:tmpl w:val="CA2ECC8A"/>
    <w:lvl w:ilvl="0" w:tplc="8B84C93E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0"/>
  </w:num>
  <w:num w:numId="5">
    <w:abstractNumId w:val="14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3C"/>
    <w:rsid w:val="00040F83"/>
    <w:rsid w:val="00047973"/>
    <w:rsid w:val="00055E53"/>
    <w:rsid w:val="00090735"/>
    <w:rsid w:val="001475BC"/>
    <w:rsid w:val="00197690"/>
    <w:rsid w:val="001D044F"/>
    <w:rsid w:val="001D4DB8"/>
    <w:rsid w:val="00206DC5"/>
    <w:rsid w:val="00221763"/>
    <w:rsid w:val="002C4F42"/>
    <w:rsid w:val="003137FC"/>
    <w:rsid w:val="003417CE"/>
    <w:rsid w:val="00341B86"/>
    <w:rsid w:val="003477BB"/>
    <w:rsid w:val="00377A83"/>
    <w:rsid w:val="00392691"/>
    <w:rsid w:val="003D45DA"/>
    <w:rsid w:val="003E0980"/>
    <w:rsid w:val="003E419B"/>
    <w:rsid w:val="00467A4F"/>
    <w:rsid w:val="004915BD"/>
    <w:rsid w:val="00494834"/>
    <w:rsid w:val="004D05F7"/>
    <w:rsid w:val="004D2AD3"/>
    <w:rsid w:val="004E5677"/>
    <w:rsid w:val="00552544"/>
    <w:rsid w:val="00552D94"/>
    <w:rsid w:val="005B13E3"/>
    <w:rsid w:val="005F5E07"/>
    <w:rsid w:val="0060473A"/>
    <w:rsid w:val="00660399"/>
    <w:rsid w:val="006651BD"/>
    <w:rsid w:val="00682F5E"/>
    <w:rsid w:val="006A7A86"/>
    <w:rsid w:val="006B5977"/>
    <w:rsid w:val="006B6621"/>
    <w:rsid w:val="006C025D"/>
    <w:rsid w:val="006E07F4"/>
    <w:rsid w:val="00741F31"/>
    <w:rsid w:val="0077203B"/>
    <w:rsid w:val="007801AF"/>
    <w:rsid w:val="0078137E"/>
    <w:rsid w:val="00790C3A"/>
    <w:rsid w:val="007A071E"/>
    <w:rsid w:val="007F3B3C"/>
    <w:rsid w:val="008126E9"/>
    <w:rsid w:val="00840715"/>
    <w:rsid w:val="008701CB"/>
    <w:rsid w:val="00884384"/>
    <w:rsid w:val="008A3AF2"/>
    <w:rsid w:val="008F122A"/>
    <w:rsid w:val="00917780"/>
    <w:rsid w:val="009305F4"/>
    <w:rsid w:val="00947651"/>
    <w:rsid w:val="009951F4"/>
    <w:rsid w:val="009977A8"/>
    <w:rsid w:val="009D6F15"/>
    <w:rsid w:val="00A44B0D"/>
    <w:rsid w:val="00AA1612"/>
    <w:rsid w:val="00AB1A90"/>
    <w:rsid w:val="00AC231F"/>
    <w:rsid w:val="00AC6C54"/>
    <w:rsid w:val="00AF3FB0"/>
    <w:rsid w:val="00B044F2"/>
    <w:rsid w:val="00B061CD"/>
    <w:rsid w:val="00B1601A"/>
    <w:rsid w:val="00BB498D"/>
    <w:rsid w:val="00BF0ADE"/>
    <w:rsid w:val="00C124F7"/>
    <w:rsid w:val="00C32F9D"/>
    <w:rsid w:val="00C408B0"/>
    <w:rsid w:val="00C67D96"/>
    <w:rsid w:val="00C7432E"/>
    <w:rsid w:val="00C979B4"/>
    <w:rsid w:val="00CF2CC8"/>
    <w:rsid w:val="00D113FA"/>
    <w:rsid w:val="00D14908"/>
    <w:rsid w:val="00D63581"/>
    <w:rsid w:val="00D82786"/>
    <w:rsid w:val="00D84AAF"/>
    <w:rsid w:val="00D90CC1"/>
    <w:rsid w:val="00DB1945"/>
    <w:rsid w:val="00DF41B7"/>
    <w:rsid w:val="00E0686E"/>
    <w:rsid w:val="00E11CD3"/>
    <w:rsid w:val="00E45E38"/>
    <w:rsid w:val="00E56D3C"/>
    <w:rsid w:val="00EA0B0B"/>
    <w:rsid w:val="00EE1E86"/>
    <w:rsid w:val="00F60252"/>
    <w:rsid w:val="00F656FD"/>
    <w:rsid w:val="00F8170B"/>
    <w:rsid w:val="00FB7AA5"/>
    <w:rsid w:val="00FC1793"/>
    <w:rsid w:val="00FD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81AEF1-7F7A-439C-886E-C7560D71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6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04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1">
    <w:name w:val="Stil1"/>
    <w:basedOn w:val="TableNormal"/>
    <w:uiPriority w:val="99"/>
    <w:rsid w:val="00206DC5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665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BD"/>
  </w:style>
  <w:style w:type="paragraph" w:styleId="Footer">
    <w:name w:val="footer"/>
    <w:basedOn w:val="Normal"/>
    <w:link w:val="FooterChar"/>
    <w:uiPriority w:val="99"/>
    <w:unhideWhenUsed/>
    <w:rsid w:val="00665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BD"/>
  </w:style>
  <w:style w:type="character" w:styleId="Hyperlink">
    <w:name w:val="Hyperlink"/>
    <w:basedOn w:val="DefaultParagraphFont"/>
    <w:uiPriority w:val="99"/>
    <w:unhideWhenUsed/>
    <w:rsid w:val="006651B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32F9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C6C54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view/simpoziontpd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ftSFdg2pQWk6UwCuc1KOz11B5W6xy8JkS6cSLaY6ZhZYjo3Q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simpoziontpds/program-simpoz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8357-BCAC-4D51-BCAB-0E9170AC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    </vt:lpstr>
      <vt:lpstr>    </vt:lpstr>
      <vt:lpstr>    </vt:lpstr>
      <vt:lpstr>    Universitatea „Ovidius” din Constanţa, Facultatea de Psihologie şi Ştiinţele Edu</vt:lpstr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PowerUser</cp:lastModifiedBy>
  <cp:revision>4</cp:revision>
  <cp:lastPrinted>2017-11-12T21:33:00Z</cp:lastPrinted>
  <dcterms:created xsi:type="dcterms:W3CDTF">2017-11-26T19:24:00Z</dcterms:created>
  <dcterms:modified xsi:type="dcterms:W3CDTF">2017-11-28T15:23:00Z</dcterms:modified>
</cp:coreProperties>
</file>