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 xml:space="preserve">Structura PROIECTULUI DE CERCETARE 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>solicitat candidaților la examenul de admitere pentru programele de masterat Psihodiagnoza personalităţii şi Management educaţional, sesiunea 2020,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>oferite de Facultatea de Psihologie şi Ştiinţele Educaţiei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1. Tema de cercetare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2. Documentarea cercetării în domeniul temei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3. Obiectivele si ipotezele cercetării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4. Concepte cheie: definire, operaţionalizare, variabilele cercetării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5. Lotul de subiecţi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6. Instrumente şi metode de cercetare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7. Rezultate estimate, implicaţii teoretice, metode aplicative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8. Limite şi perspective ale cercetării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  <w:r w:rsidRPr="00F069D0">
        <w:rPr>
          <w:lang w:val="ro-RO" w:eastAsia="ro-RO"/>
        </w:rPr>
        <w:t>9. Bibliografie</w:t>
      </w:r>
    </w:p>
    <w:p w:rsidR="0061616B" w:rsidRPr="00F069D0" w:rsidRDefault="0061616B" w:rsidP="0061616B">
      <w:pPr>
        <w:widowControl w:val="0"/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D90DBA" w:rsidRDefault="00D90DBA">
      <w:bookmarkStart w:id="0" w:name="_GoBack"/>
      <w:bookmarkEnd w:id="0"/>
    </w:p>
    <w:sectPr w:rsidR="00D9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6B"/>
    <w:rsid w:val="0061616B"/>
    <w:rsid w:val="00D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2020-06-02T16:18:00Z</dcterms:created>
  <dcterms:modified xsi:type="dcterms:W3CDTF">2020-06-02T16:18:00Z</dcterms:modified>
</cp:coreProperties>
</file>